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13. - 16.08.2026</w:t>
            </w:r>
          </w:p>
          <w:p>
            <w:pPr>
              <w:pStyle w:val="Heading1"/>
            </w:pPr>
            <w:bookmarkStart w:id="0" w:name="_Toc0"/>
            <w:r>
              <w:t>Aufatmen und Schreiben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99 Euro Seminarbeitragzzgl. Übernachtung und Verpflegung</w:t>
            </w:r>
          </w:p>
          <w:p>
            <w:pPr>
              <w:spacing w:after="0" w:line="75" w:lineRule="exact"/>
              <w:pBdr>
                <w:bottom w:val="single" w:sz="7" w:color="F2F2F2"/>
              </w:pBdr>
            </w:pPr>
          </w:p>
          <w:p>
            <w:pPr>
              <w:spacing w:after="0"/>
            </w:pPr>
          </w:p>
          <w:p>
            <w:pPr/>
            <w:r>
              <w:rPr>
                <w:b w:val="1"/>
                <w:bCs w:val="1"/>
              </w:rPr>
              <w:t xml:space="preserve">Aufatmen und Schreiben</w:t>
            </w:r>
          </w:p>
          <w:p>
            <w:pPr/>
            <w:r>
              <w:rPr/>
              <w:t xml:space="preserve">Bewegung und Stille. Natur genießen und kreativ werden. Beides vereint Aufatmen und Schreiben. Wir sind im Wechsel mit achtsamen Wanderungen rings ums Kloster und schreiben im Seminarraum oder an selbstgewählten, ruhigen Plätzen im Klostergelände. Wir tauchen ein in die Geschichte und Schönheit des Schreibens. Dazu steht eine Fülle von Stiften, Papieren zur Verfügung und die Möglichkeit, sich in „Handlettering“ zu üben. Das Seminar bietet ebenso Raum, persönliche Texte zu gestalten, Gedanken zu fokussieren und im Schreiben Ausdruck zu verleihen.</w:t>
            </w:r>
          </w:p>
          <w:p>
            <w:pPr/>
            <w:r>
              <w:rPr>
                <w:b w:val="1"/>
                <w:bCs w:val="1"/>
              </w:rPr>
              <w:t xml:space="preserve">Leitung:</w:t>
            </w:r>
            <w:r>
              <w:rPr/>
              <w:t xml:space="preserve"> 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3429B7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AFCAC2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ufatmen-und-schrei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2026-07-09T19:31:05+00:00</dcterms:created>
  <dcterms:modified xsi:type="dcterms:W3CDTF">2026-07-09T19:31:05+00:00</dcterms:modified>
</cp:coreProperties>
</file>

<file path=docProps/custom.xml><?xml version="1.0" encoding="utf-8"?>
<Properties xmlns="http://schemas.openxmlformats.org/officeDocument/2006/custom-properties" xmlns:vt="http://schemas.openxmlformats.org/officeDocument/2006/docPropsVTypes"/>
</file>