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15. - 17.01.2027</w:t>
            </w:r>
          </w:p>
          <w:p>
            <w:pPr>
              <w:pStyle w:val="Heading1"/>
            </w:pPr>
            <w:bookmarkStart w:id="0" w:name="_Toc0"/>
            <w:r>
              <w:t>Bierbrau-Seminar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 Seminargebühr (inkl. 3 Flaschen Klosterbier im Holzträger)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Erlebe den Prozess des Bierbrauens hautnah mit! Eingebettet in die Gebetszeiten des Tages werden wir alle Schritte des Bierbrauens mit Hilfe einer Kleinbrauanlage (50 Liter) in handwerklicher Art und Weise durchführen.</w:t>
            </w:r>
          </w:p>
          <w:p>
            <w:pPr/>
            <w:r>
              <w:rPr/>
              <w:t xml:space="preserve">Hier gibt es eine ausführliche Beschreibung als PDF.</w:t>
            </w:r>
          </w:p>
          <w:p>
            <w:pPr/>
            <w:r>
              <w:rPr>
                <w:b w:val="1"/>
                <w:bCs w:val="1"/>
              </w:rPr>
              <w:t xml:space="preserve">Leitung:</w:t>
            </w:r>
            <w:r>
              <w:rPr/>
              <w:t xml:space="preserve"> Matthias Krones</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0C20DD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121417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erbrau-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2026-06-27T02:25:47+00:00</dcterms:created>
  <dcterms:modified xsi:type="dcterms:W3CDTF">2026-06-27T02:25:47+00:00</dcterms:modified>
</cp:coreProperties>
</file>

<file path=docProps/custom.xml><?xml version="1.0" encoding="utf-8"?>
<Properties xmlns="http://schemas.openxmlformats.org/officeDocument/2006/custom-properties" xmlns:vt="http://schemas.openxmlformats.org/officeDocument/2006/docPropsVTypes"/>
</file>